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2C87" w:rsidRDefault="004F1F00">
      <w:pPr>
        <w:spacing w:before="78"/>
        <w:ind w:left="4219" w:right="4219"/>
        <w:jc w:val="center"/>
        <w:rPr>
          <w:rFonts w:ascii="Verdana"/>
          <w:b/>
          <w:sz w:val="32"/>
        </w:rPr>
      </w:pPr>
      <w:bookmarkStart w:id="0" w:name="_GoBack"/>
      <w:bookmarkEnd w:id="0"/>
      <w:r>
        <w:rPr>
          <w:noProof/>
          <w:lang w:val="it-IT" w:eastAsia="it-IT"/>
        </w:rPr>
        <w:drawing>
          <wp:anchor distT="0" distB="0" distL="0" distR="0" simplePos="0" relativeHeight="268432079" behindDoc="1" locked="0" layoutInCell="1" allowOverlap="1">
            <wp:simplePos x="0" y="0"/>
            <wp:positionH relativeFrom="page">
              <wp:posOffset>0</wp:posOffset>
            </wp:positionH>
            <wp:positionV relativeFrom="page">
              <wp:posOffset>0</wp:posOffset>
            </wp:positionV>
            <wp:extent cx="7560309" cy="1069213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7560309" cy="10692130"/>
                    </a:xfrm>
                    <a:prstGeom prst="rect">
                      <a:avLst/>
                    </a:prstGeom>
                  </pic:spPr>
                </pic:pic>
              </a:graphicData>
            </a:graphic>
          </wp:anchor>
        </w:drawing>
      </w:r>
      <w:r>
        <w:rPr>
          <w:rFonts w:ascii="Verdana"/>
          <w:b/>
          <w:sz w:val="32"/>
        </w:rPr>
        <w:t>STORIA</w:t>
      </w:r>
    </w:p>
    <w:p w:rsidR="00182C87" w:rsidRDefault="00182C87">
      <w:pPr>
        <w:pStyle w:val="Corpotesto"/>
        <w:spacing w:before="11"/>
        <w:ind w:left="0"/>
        <w:jc w:val="left"/>
        <w:rPr>
          <w:rFonts w:ascii="Verdana"/>
          <w:b/>
          <w:sz w:val="46"/>
        </w:rPr>
      </w:pPr>
    </w:p>
    <w:p w:rsidR="00182C87" w:rsidRDefault="004F1F00">
      <w:pPr>
        <w:pStyle w:val="Corpotesto"/>
        <w:tabs>
          <w:tab w:val="left" w:pos="2042"/>
          <w:tab w:val="left" w:pos="4600"/>
          <w:tab w:val="left" w:pos="6386"/>
          <w:tab w:val="left" w:pos="8851"/>
        </w:tabs>
        <w:spacing w:line="360" w:lineRule="auto"/>
        <w:ind w:right="109"/>
      </w:pPr>
      <w:r>
        <w:t xml:space="preserve">La contrada che da secoli prende il nome di </w:t>
      </w:r>
      <w:r>
        <w:rPr>
          <w:b/>
        </w:rPr>
        <w:t>Gorto</w:t>
      </w:r>
      <w:r>
        <w:t>, corrisponde pressappoco al territorio amministrativo del Comune di Ovaro. L’importanza di questa zona, fin da epoche protostoriche, va individuata nella sua centralità rispetto al sistema vallivo, e nelle caratteristiche orografiche che la resero senza d</w:t>
      </w:r>
      <w:r>
        <w:t xml:space="preserve">ubbio ambita in tempi di invasioni e tumulti. Una discreta dotazione di aree utilizzabili per le coltivazioni si aggiunge alla presenza di barriere naturali in ogni direzione che ne fanno un rifugio sicuro. La certezza di un’antichissima frequentazione si </w:t>
      </w:r>
      <w:r>
        <w:t xml:space="preserve">contrappone però con la relativa scarsità di elementi conoscitivi. </w:t>
      </w:r>
      <w:r>
        <w:rPr>
          <w:spacing w:val="-3"/>
        </w:rPr>
        <w:t xml:space="preserve">Il </w:t>
      </w:r>
      <w:r>
        <w:t>non elevato numero di siti di interesse archeologico risulta peraltro facilmente giustificato dal fatto che una notevole porzione del territorio risulta ricoperta da fitti boschi, mentre</w:t>
      </w:r>
      <w:r>
        <w:t xml:space="preserve"> i pochi spazi aperti sono occupati dagli insediamenti. Va inoltre considerato che nei terreni di origine alluvionale o detritica che caratterizzano buona parte della Valle, la sovrapposizione dei successivi strati avviene rapidamente e l’accumulo di mater</w:t>
      </w:r>
      <w:r>
        <w:t xml:space="preserve">iale è spesso di discreta entità. </w:t>
      </w:r>
      <w:r>
        <w:rPr>
          <w:spacing w:val="-3"/>
        </w:rPr>
        <w:t xml:space="preserve">La </w:t>
      </w:r>
      <w:r>
        <w:t>ridotta attività agricola che interessa la zona esclude inoltre l’uso di aratri ed il rinvenimento occasionale di reperti archeologici (frequentissimo in Friuli) è qui limitato alle poche occasioni in cui i lavori di sc</w:t>
      </w:r>
      <w:r>
        <w:t xml:space="preserve">avo si spingono al di sotto di un metro circa rispetto al piano di campagna. In tali circostanze sono stati però portati alla luce resti di notevole interesse. Basti pensare agli </w:t>
      </w:r>
      <w:r>
        <w:rPr>
          <w:b/>
        </w:rPr>
        <w:t xml:space="preserve">orecchini di fattura celtica </w:t>
      </w:r>
      <w:r>
        <w:t>portati alla luce a Clavais nel 1923 durante i l</w:t>
      </w:r>
      <w:r>
        <w:t>avori di realizzazione della strada comunale, o al ritrovamento di antiche sepolture di cui fa menzione un po’</w:t>
      </w:r>
      <w:r>
        <w:tab/>
        <w:t>dovunque</w:t>
      </w:r>
      <w:r>
        <w:tab/>
        <w:t>la</w:t>
      </w:r>
      <w:r>
        <w:tab/>
        <w:t>memoria</w:t>
      </w:r>
      <w:r>
        <w:tab/>
        <w:t xml:space="preserve">popolare. I più recenti ed importanti rinvenimenti sono rappresentati dalla </w:t>
      </w:r>
      <w:r>
        <w:rPr>
          <w:b/>
        </w:rPr>
        <w:t xml:space="preserve">pietra graffita </w:t>
      </w:r>
      <w:r>
        <w:t>in caratteri venetici (V sec. a.C</w:t>
      </w:r>
      <w:r>
        <w:t xml:space="preserve">.) trovata in località Cjanaia fra le radici di un albero abbattuto e dalle </w:t>
      </w:r>
      <w:r>
        <w:rPr>
          <w:b/>
        </w:rPr>
        <w:t xml:space="preserve">tombe </w:t>
      </w:r>
      <w:r>
        <w:t xml:space="preserve">di epoca </w:t>
      </w:r>
      <w:r>
        <w:rPr>
          <w:b/>
        </w:rPr>
        <w:t xml:space="preserve">altomedioevale </w:t>
      </w:r>
      <w:r>
        <w:t>(VI sec.) portate alla luce a partire dal 1991 in Namontet di Liariis, nelle quali il corredo funebre conteneva alcuni tipici oggetti d’uso (ad esempi</w:t>
      </w:r>
      <w:r>
        <w:t xml:space="preserve">o alcune lame, un pettine d’osso, uno spillone). Risalenti agli albori del cristianesimo sono, invece, i resti venuti alla luce durante i lavori di restauro della </w:t>
      </w:r>
      <w:r>
        <w:rPr>
          <w:b/>
        </w:rPr>
        <w:t>Pieve di Gorto</w:t>
      </w:r>
      <w:r>
        <w:t>, che attestano la presenza sul colle di centri di culto ben più antichi rispet</w:t>
      </w:r>
      <w:r>
        <w:t xml:space="preserve">to al fabbricato attuale. Il ritrovamento di gran lunga più importante è comunque il </w:t>
      </w:r>
      <w:r>
        <w:rPr>
          <w:b/>
        </w:rPr>
        <w:t xml:space="preserve">complesso basilicale </w:t>
      </w:r>
      <w:r>
        <w:t>con annesso battistero in località San Martino a fianco della chiesetta attuale. In questo sito, a seguito dei lavori di restauro della chiesa, sono p</w:t>
      </w:r>
      <w:r>
        <w:t xml:space="preserve">rogressivamente venute alla luce sepolture su vari livelli. Il ritrovamento di un vasto perimetro di fabbricato ha permesso la corretta lettura di quanto presente all’interno della navata della chiesa: un </w:t>
      </w:r>
      <w:r>
        <w:rPr>
          <w:b/>
        </w:rPr>
        <w:t xml:space="preserve">fonte battesimale </w:t>
      </w:r>
      <w:r>
        <w:t>ad immersione contenuto in un edi</w:t>
      </w:r>
      <w:r>
        <w:t>ficio dedicato analogamente al complesso basilicale di</w:t>
      </w:r>
      <w:r>
        <w:rPr>
          <w:spacing w:val="2"/>
        </w:rPr>
        <w:t xml:space="preserve"> </w:t>
      </w:r>
      <w:r>
        <w:t>Grado.</w:t>
      </w:r>
    </w:p>
    <w:p w:rsidR="00182C87" w:rsidRDefault="004F1F00">
      <w:pPr>
        <w:pStyle w:val="Corpotesto"/>
        <w:spacing w:before="4" w:line="360" w:lineRule="auto"/>
        <w:ind w:right="116"/>
      </w:pPr>
      <w:r>
        <w:t>Indicatori di una remota frequentazione della valle da parte di popoli dalle origini e dai costumi più svariati sono anche i toponimi e particolari tradizioni orali che fanno riferimento alla pr</w:t>
      </w:r>
      <w:r>
        <w:t>esenza dei</w:t>
      </w:r>
    </w:p>
    <w:p w:rsidR="00182C87" w:rsidRDefault="00182C87">
      <w:pPr>
        <w:spacing w:line="360" w:lineRule="auto"/>
        <w:sectPr w:rsidR="00182C87">
          <w:type w:val="continuous"/>
          <w:pgSz w:w="11910" w:h="16840"/>
          <w:pgMar w:top="1320" w:right="1020" w:bottom="280" w:left="1020" w:header="720" w:footer="720" w:gutter="0"/>
          <w:cols w:space="720"/>
        </w:sectPr>
      </w:pPr>
    </w:p>
    <w:p w:rsidR="00182C87" w:rsidRDefault="004F1F00">
      <w:pPr>
        <w:pStyle w:val="Corpotesto"/>
        <w:spacing w:before="72" w:line="360" w:lineRule="auto"/>
        <w:ind w:right="111"/>
      </w:pPr>
      <w:r>
        <w:rPr>
          <w:noProof/>
          <w:lang w:val="it-IT" w:eastAsia="it-IT"/>
        </w:rPr>
        <w:lastRenderedPageBreak/>
        <w:drawing>
          <wp:anchor distT="0" distB="0" distL="0" distR="0" simplePos="0" relativeHeight="268432103" behindDoc="1" locked="0" layoutInCell="1" allowOverlap="1">
            <wp:simplePos x="0" y="0"/>
            <wp:positionH relativeFrom="page">
              <wp:posOffset>0</wp:posOffset>
            </wp:positionH>
            <wp:positionV relativeFrom="page">
              <wp:posOffset>0</wp:posOffset>
            </wp:positionV>
            <wp:extent cx="7560309" cy="10692130"/>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5" cstate="print"/>
                    <a:stretch>
                      <a:fillRect/>
                    </a:stretch>
                  </pic:blipFill>
                  <pic:spPr>
                    <a:xfrm>
                      <a:off x="0" y="0"/>
                      <a:ext cx="7560309" cy="10692130"/>
                    </a:xfrm>
                    <a:prstGeom prst="rect">
                      <a:avLst/>
                    </a:prstGeom>
                  </pic:spPr>
                </pic:pic>
              </a:graphicData>
            </a:graphic>
          </wp:anchor>
        </w:drawing>
      </w:r>
      <w:r>
        <w:rPr>
          <w:i/>
        </w:rPr>
        <w:t xml:space="preserve">Pajans </w:t>
      </w:r>
      <w:r>
        <w:t xml:space="preserve">(tombe in località Prencis rinvenute, pare, alla fine del secolo scorso) e </w:t>
      </w:r>
      <w:r>
        <w:rPr>
          <w:i/>
        </w:rPr>
        <w:t xml:space="preserve">des Aganis </w:t>
      </w:r>
      <w:r>
        <w:t>(rupe in frazione Agrons), entrambi attribuiti a popolazioni che di volta in volta sono state identificate con i Celti, con i Longobard</w:t>
      </w:r>
      <w:r>
        <w:t>i o con altri non ben identificati popoli nomadi che trovarono riparo qui, evidentemente pressati da più numerose o bellicose genti che si avvicendarono nella fertile valle del Gail, che si stende al di là delle montagne.</w:t>
      </w:r>
    </w:p>
    <w:p w:rsidR="00182C87" w:rsidRDefault="00182C87">
      <w:pPr>
        <w:pStyle w:val="Corpotesto"/>
        <w:spacing w:before="10"/>
        <w:ind w:left="0"/>
        <w:jc w:val="left"/>
      </w:pPr>
    </w:p>
    <w:p w:rsidR="00182C87" w:rsidRDefault="004F1F00">
      <w:pPr>
        <w:pStyle w:val="Corpotesto"/>
        <w:spacing w:before="1" w:line="360" w:lineRule="auto"/>
        <w:ind w:right="111"/>
      </w:pPr>
      <w:r>
        <w:t xml:space="preserve">Nel </w:t>
      </w:r>
      <w:hyperlink r:id="rId6">
        <w:r>
          <w:t>1420,</w:t>
        </w:r>
      </w:hyperlink>
      <w:r>
        <w:t xml:space="preserve"> insieme al resto del Friuli, Ovaro passò alla </w:t>
      </w:r>
      <w:hyperlink r:id="rId7">
        <w:r>
          <w:t>Repubblica di Venezia</w:t>
        </w:r>
      </w:hyperlink>
      <w:r>
        <w:t>, che mantenne inalterato lo statuto di autonomia di cui godeva la Carnia in epoca patria</w:t>
      </w:r>
      <w:r>
        <w:t xml:space="preserve">rcale. Come il resto della Carnia, infatti, la zona di Ovaro venne coinvolta solo marginalmente nelle vicende della Repubblica di Venezia. L'evento più rilevante dei secoli in questione fu il terremoto che colpì la zona di Ovaro il </w:t>
      </w:r>
      <w:hyperlink r:id="rId8">
        <w:r>
          <w:t xml:space="preserve">28 luglio </w:t>
        </w:r>
      </w:hyperlink>
      <w:r>
        <w:t xml:space="preserve">del </w:t>
      </w:r>
      <w:hyperlink r:id="rId9">
        <w:r>
          <w:t xml:space="preserve">1700. </w:t>
        </w:r>
      </w:hyperlink>
      <w:r>
        <w:t>A seguito del sisma, si rese necessaria un’opera di ricostruzione, in particolare quella della pieve di</w:t>
      </w:r>
      <w:r>
        <w:rPr>
          <w:spacing w:val="-4"/>
        </w:rPr>
        <w:t xml:space="preserve"> </w:t>
      </w:r>
      <w:r>
        <w:t>Gorto.</w:t>
      </w:r>
    </w:p>
    <w:p w:rsidR="00182C87" w:rsidRDefault="00182C87">
      <w:pPr>
        <w:pStyle w:val="Corpotesto"/>
        <w:spacing w:before="2"/>
        <w:ind w:left="0"/>
        <w:jc w:val="left"/>
        <w:rPr>
          <w:sz w:val="25"/>
        </w:rPr>
      </w:pPr>
    </w:p>
    <w:p w:rsidR="00182C87" w:rsidRDefault="004F1F00">
      <w:pPr>
        <w:ind w:left="112"/>
        <w:jc w:val="both"/>
        <w:rPr>
          <w:b/>
          <w:sz w:val="24"/>
        </w:rPr>
      </w:pPr>
      <w:r>
        <w:rPr>
          <w:b/>
          <w:sz w:val="24"/>
        </w:rPr>
        <w:t>Sviluppo economico e sociale e organi</w:t>
      </w:r>
      <w:r>
        <w:rPr>
          <w:b/>
          <w:sz w:val="24"/>
        </w:rPr>
        <w:t>zzazione amministrativa e religiosa in età moderna</w:t>
      </w:r>
    </w:p>
    <w:p w:rsidR="00182C87" w:rsidRDefault="00182C87">
      <w:pPr>
        <w:pStyle w:val="Corpotesto"/>
        <w:spacing w:before="10"/>
        <w:ind w:left="0"/>
        <w:jc w:val="left"/>
        <w:rPr>
          <w:b/>
          <w:sz w:val="35"/>
        </w:rPr>
      </w:pPr>
    </w:p>
    <w:p w:rsidR="00182C87" w:rsidRDefault="004F1F00">
      <w:pPr>
        <w:pStyle w:val="Corpotesto"/>
        <w:spacing w:line="360" w:lineRule="auto"/>
        <w:ind w:right="113"/>
      </w:pPr>
      <w:r>
        <w:t xml:space="preserve">Le famiglie della zona andarono affiancando all’attività agricola attività di tipo artigianale e commerciale (commercio ambulante, soprattutto di </w:t>
      </w:r>
      <w:hyperlink r:id="rId10">
        <w:r>
          <w:t>spezie</w:t>
        </w:r>
      </w:hyperlink>
      <w:r>
        <w:t xml:space="preserve"> e mercerie, </w:t>
      </w:r>
      <w:hyperlink r:id="rId11">
        <w:r>
          <w:t>tessitura</w:t>
        </w:r>
      </w:hyperlink>
      <w:r>
        <w:t>), dando luogo a flussi migratori stagionali, i commercianti (</w:t>
      </w:r>
      <w:r>
        <w:rPr>
          <w:i/>
        </w:rPr>
        <w:t>cramârs</w:t>
      </w:r>
      <w:r>
        <w:t>) verso le terre dell’Impero, i tessitori verso l’</w:t>
      </w:r>
      <w:hyperlink r:id="rId12">
        <w:r>
          <w:t xml:space="preserve">Istria </w:t>
        </w:r>
      </w:hyperlink>
      <w:r>
        <w:t>interna. Le rimesse economiche di tali categorie, assieme al periodo di relativa tranquillità politica garantito dalla Repubblica di Venezia, consentirono un periodo di relativa prosperità economi</w:t>
      </w:r>
      <w:r>
        <w:t>ca per la zona di Ovaro, come del resto per la Carnia</w:t>
      </w:r>
      <w:r>
        <w:rPr>
          <w:spacing w:val="-7"/>
        </w:rPr>
        <w:t xml:space="preserve"> </w:t>
      </w:r>
      <w:r>
        <w:t>intera.</w:t>
      </w:r>
    </w:p>
    <w:p w:rsidR="00182C87" w:rsidRDefault="00182C87">
      <w:pPr>
        <w:pStyle w:val="Corpotesto"/>
        <w:spacing w:before="8"/>
        <w:ind w:left="0"/>
        <w:jc w:val="left"/>
      </w:pPr>
    </w:p>
    <w:p w:rsidR="00182C87" w:rsidRDefault="004F1F00">
      <w:pPr>
        <w:pStyle w:val="Corpotesto"/>
        <w:spacing w:line="360" w:lineRule="auto"/>
        <w:ind w:right="112"/>
      </w:pPr>
      <w:r>
        <w:t xml:space="preserve">Tra le famiglie ovaresi che si distinsero in epoca moderna, si possono portare come esempio i </w:t>
      </w:r>
      <w:r>
        <w:rPr>
          <w:b/>
        </w:rPr>
        <w:t xml:space="preserve">De Corte </w:t>
      </w:r>
      <w:r>
        <w:t xml:space="preserve">di Ovasta, specializzati nel commercio nelle terre interne dell’Impero, in particolare ad Edemburgo ed i </w:t>
      </w:r>
      <w:r>
        <w:rPr>
          <w:b/>
        </w:rPr>
        <w:t xml:space="preserve">Rovis </w:t>
      </w:r>
      <w:r>
        <w:t>di Agrons, che avevano raggiunto un notevole benessere grazie all’attività artigianale sviluppata a Gimino, nell’Istria imperiale. Accanto a ques</w:t>
      </w:r>
      <w:r>
        <w:t xml:space="preserve">te si possono ricordare anche gli </w:t>
      </w:r>
      <w:r>
        <w:rPr>
          <w:b/>
        </w:rPr>
        <w:t xml:space="preserve">Spinotti </w:t>
      </w:r>
      <w:r>
        <w:t xml:space="preserve">di Muina, i </w:t>
      </w:r>
      <w:r>
        <w:rPr>
          <w:b/>
        </w:rPr>
        <w:t xml:space="preserve">Crosilla-Micoli </w:t>
      </w:r>
      <w:r>
        <w:t xml:space="preserve">di Mione e i </w:t>
      </w:r>
      <w:r>
        <w:rPr>
          <w:b/>
        </w:rPr>
        <w:t xml:space="preserve">Lupieri </w:t>
      </w:r>
      <w:r>
        <w:t>di Luint. L'importanza assunta dalle attività commerciali ed artigianali si accompagnava ad un crescente ricorso ai prestiti, erogati da singoli privati oppure dall</w:t>
      </w:r>
      <w:r>
        <w:t>e confraternite locali.</w:t>
      </w:r>
    </w:p>
    <w:p w:rsidR="00182C87" w:rsidRDefault="00182C87">
      <w:pPr>
        <w:pStyle w:val="Corpotesto"/>
        <w:spacing w:before="8"/>
        <w:ind w:left="0"/>
        <w:jc w:val="left"/>
      </w:pPr>
    </w:p>
    <w:p w:rsidR="00182C87" w:rsidRDefault="004F1F00">
      <w:pPr>
        <w:pStyle w:val="Corpotesto"/>
        <w:spacing w:line="360" w:lineRule="auto"/>
        <w:ind w:right="110"/>
      </w:pPr>
      <w:r>
        <w:t xml:space="preserve">Nella zona di Ovaro i comuni erano tredici, corrispondenti alle attuali </w:t>
      </w:r>
      <w:hyperlink r:id="rId13">
        <w:r>
          <w:rPr>
            <w:u w:val="single"/>
          </w:rPr>
          <w:t>frazioni</w:t>
        </w:r>
        <w:r>
          <w:t xml:space="preserve"> </w:t>
        </w:r>
      </w:hyperlink>
      <w:r>
        <w:t xml:space="preserve">di Muina, </w:t>
      </w:r>
      <w:hyperlink r:id="rId14">
        <w:r>
          <w:rPr>
            <w:u w:val="single"/>
          </w:rPr>
          <w:t>Agrons</w:t>
        </w:r>
        <w:r>
          <w:t xml:space="preserve"> </w:t>
        </w:r>
      </w:hyperlink>
      <w:r>
        <w:t>e Cella, Mio</w:t>
      </w:r>
      <w:r>
        <w:t xml:space="preserve">ne, Luint, Luincis, Ovasta, Entrampo, Clavais, Liariis, Lenzone, Chialina e Cludinico. </w:t>
      </w:r>
      <w:r>
        <w:rPr>
          <w:spacing w:val="-3"/>
        </w:rPr>
        <w:t xml:space="preserve">Il </w:t>
      </w:r>
      <w:r>
        <w:t>comune era retto dalla "</w:t>
      </w:r>
      <w:r>
        <w:rPr>
          <w:b/>
          <w:i/>
        </w:rPr>
        <w:t>vicìnia</w:t>
      </w:r>
      <w:r>
        <w:t>", l'assemblea dei rappresentanti delle famiglie, a cui prendevano parte in teoria i capofamiglia: in realtà la prolungata assenza degl</w:t>
      </w:r>
      <w:r>
        <w:t>i uomini, che migravano stagionalmente per dedicarsi alle attività commerciali o artigianali, faceva sì che il ruolo fosse svolto</w:t>
      </w:r>
      <w:r>
        <w:rPr>
          <w:spacing w:val="41"/>
        </w:rPr>
        <w:t xml:space="preserve"> </w:t>
      </w:r>
      <w:r>
        <w:t>spesso</w:t>
      </w:r>
      <w:r>
        <w:rPr>
          <w:spacing w:val="40"/>
        </w:rPr>
        <w:t xml:space="preserve"> </w:t>
      </w:r>
      <w:r>
        <w:t>dalle</w:t>
      </w:r>
      <w:r>
        <w:rPr>
          <w:spacing w:val="40"/>
        </w:rPr>
        <w:t xml:space="preserve"> </w:t>
      </w:r>
      <w:r>
        <w:t>donne.</w:t>
      </w:r>
      <w:r>
        <w:rPr>
          <w:spacing w:val="43"/>
        </w:rPr>
        <w:t xml:space="preserve"> </w:t>
      </w:r>
      <w:r>
        <w:t>La</w:t>
      </w:r>
      <w:r>
        <w:rPr>
          <w:spacing w:val="42"/>
        </w:rPr>
        <w:t xml:space="preserve"> </w:t>
      </w:r>
      <w:r>
        <w:rPr>
          <w:i/>
        </w:rPr>
        <w:t>vicìnia</w:t>
      </w:r>
      <w:r>
        <w:rPr>
          <w:i/>
          <w:spacing w:val="41"/>
        </w:rPr>
        <w:t xml:space="preserve"> </w:t>
      </w:r>
      <w:r>
        <w:t>prendeva</w:t>
      </w:r>
      <w:r>
        <w:rPr>
          <w:spacing w:val="42"/>
        </w:rPr>
        <w:t xml:space="preserve"> </w:t>
      </w:r>
      <w:r>
        <w:t>tutte</w:t>
      </w:r>
      <w:r>
        <w:rPr>
          <w:spacing w:val="40"/>
        </w:rPr>
        <w:t xml:space="preserve"> </w:t>
      </w:r>
      <w:r>
        <w:t>le</w:t>
      </w:r>
      <w:r>
        <w:rPr>
          <w:spacing w:val="40"/>
        </w:rPr>
        <w:t xml:space="preserve"> </w:t>
      </w:r>
      <w:r>
        <w:t>decisioni</w:t>
      </w:r>
      <w:r>
        <w:rPr>
          <w:spacing w:val="41"/>
        </w:rPr>
        <w:t xml:space="preserve"> </w:t>
      </w:r>
      <w:r>
        <w:t>di</w:t>
      </w:r>
      <w:r>
        <w:rPr>
          <w:spacing w:val="41"/>
        </w:rPr>
        <w:t xml:space="preserve"> </w:t>
      </w:r>
      <w:r>
        <w:t>competenza</w:t>
      </w:r>
      <w:r>
        <w:rPr>
          <w:spacing w:val="40"/>
        </w:rPr>
        <w:t xml:space="preserve"> </w:t>
      </w:r>
      <w:r>
        <w:t>del</w:t>
      </w:r>
      <w:r>
        <w:rPr>
          <w:spacing w:val="41"/>
        </w:rPr>
        <w:t xml:space="preserve"> </w:t>
      </w:r>
      <w:r>
        <w:t>comune</w:t>
      </w:r>
      <w:r>
        <w:rPr>
          <w:spacing w:val="42"/>
        </w:rPr>
        <w:t xml:space="preserve"> </w:t>
      </w:r>
      <w:r>
        <w:t>ed</w:t>
      </w:r>
    </w:p>
    <w:p w:rsidR="00182C87" w:rsidRDefault="00182C87">
      <w:pPr>
        <w:spacing w:line="360" w:lineRule="auto"/>
        <w:sectPr w:rsidR="00182C87">
          <w:pgSz w:w="11910" w:h="16840"/>
          <w:pgMar w:top="1320" w:right="1020" w:bottom="280" w:left="1020" w:header="720" w:footer="720" w:gutter="0"/>
          <w:cols w:space="720"/>
        </w:sectPr>
      </w:pPr>
    </w:p>
    <w:p w:rsidR="00182C87" w:rsidRDefault="004F1F00">
      <w:pPr>
        <w:pStyle w:val="Corpotesto"/>
        <w:spacing w:before="72" w:line="360" w:lineRule="auto"/>
        <w:ind w:right="111"/>
      </w:pPr>
      <w:r>
        <w:rPr>
          <w:noProof/>
          <w:lang w:val="it-IT" w:eastAsia="it-IT"/>
        </w:rPr>
        <w:lastRenderedPageBreak/>
        <w:drawing>
          <wp:anchor distT="0" distB="0" distL="0" distR="0" simplePos="0" relativeHeight="268432127" behindDoc="1" locked="0" layoutInCell="1" allowOverlap="1">
            <wp:simplePos x="0" y="0"/>
            <wp:positionH relativeFrom="page">
              <wp:posOffset>0</wp:posOffset>
            </wp:positionH>
            <wp:positionV relativeFrom="page">
              <wp:posOffset>0</wp:posOffset>
            </wp:positionV>
            <wp:extent cx="7560309" cy="10692130"/>
            <wp:effectExtent l="0" t="0" r="0" b="0"/>
            <wp:wrapNone/>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15" cstate="print"/>
                    <a:stretch>
                      <a:fillRect/>
                    </a:stretch>
                  </pic:blipFill>
                  <pic:spPr>
                    <a:xfrm>
                      <a:off x="0" y="0"/>
                      <a:ext cx="7560309" cy="10692130"/>
                    </a:xfrm>
                    <a:prstGeom prst="rect">
                      <a:avLst/>
                    </a:prstGeom>
                  </pic:spPr>
                </pic:pic>
              </a:graphicData>
            </a:graphic>
          </wp:anchor>
        </w:drawing>
      </w:r>
      <w:r>
        <w:t xml:space="preserve">eleggeva i membri della </w:t>
      </w:r>
      <w:r>
        <w:t>"banca", il governo locale, costituito da un "</w:t>
      </w:r>
      <w:hyperlink r:id="rId16">
        <w:r>
          <w:rPr>
            <w:i/>
            <w:u w:val="single"/>
          </w:rPr>
          <w:t>merìga</w:t>
        </w:r>
      </w:hyperlink>
      <w:r>
        <w:t>", o sindaco, affiancato da due "giurati", che aveva compiti esecutivi e di rappresentanza del comune verso l'esterno.</w:t>
      </w:r>
    </w:p>
    <w:p w:rsidR="00182C87" w:rsidRDefault="00182C87">
      <w:pPr>
        <w:pStyle w:val="Corpotesto"/>
        <w:spacing w:before="8"/>
        <w:ind w:left="0"/>
        <w:jc w:val="left"/>
      </w:pPr>
    </w:p>
    <w:p w:rsidR="00182C87" w:rsidRDefault="004F1F00">
      <w:pPr>
        <w:pStyle w:val="Corpotesto"/>
        <w:spacing w:line="360" w:lineRule="auto"/>
        <w:ind w:right="111"/>
      </w:pPr>
      <w:r>
        <w:t>Ovaro fece parte della Republ</w:t>
      </w:r>
      <w:r>
        <w:t xml:space="preserve">ica di </w:t>
      </w:r>
      <w:hyperlink r:id="rId17">
        <w:r>
          <w:t>Venezia</w:t>
        </w:r>
      </w:hyperlink>
      <w:r>
        <w:t xml:space="preserve"> fino al </w:t>
      </w:r>
      <w:hyperlink r:id="rId18">
        <w:r>
          <w:t>1797,</w:t>
        </w:r>
      </w:hyperlink>
      <w:r>
        <w:t xml:space="preserve"> quando passò all</w:t>
      </w:r>
      <w:hyperlink r:id="rId19">
        <w:r>
          <w:t>'impero asburgico</w:t>
        </w:r>
      </w:hyperlink>
      <w:r>
        <w:t xml:space="preserve"> insieme al resto del </w:t>
      </w:r>
      <w:hyperlink r:id="rId20">
        <w:r>
          <w:t xml:space="preserve">Veneto </w:t>
        </w:r>
      </w:hyperlink>
      <w:r>
        <w:t xml:space="preserve">e del </w:t>
      </w:r>
      <w:hyperlink r:id="rId21">
        <w:r>
          <w:t>Friuli</w:t>
        </w:r>
      </w:hyperlink>
      <w:r>
        <w:t xml:space="preserve">, come sancito dal </w:t>
      </w:r>
      <w:hyperlink r:id="rId22">
        <w:r>
          <w:rPr>
            <w:b/>
          </w:rPr>
          <w:t>trattato di Ca</w:t>
        </w:r>
        <w:r>
          <w:rPr>
            <w:b/>
          </w:rPr>
          <w:t>mpoformio</w:t>
        </w:r>
      </w:hyperlink>
      <w:r>
        <w:t xml:space="preserve">. In seguito alla </w:t>
      </w:r>
      <w:hyperlink r:id="rId23">
        <w:r>
          <w:t xml:space="preserve">Terza guerra di indipendenza </w:t>
        </w:r>
      </w:hyperlink>
      <w:r>
        <w:t xml:space="preserve">nel </w:t>
      </w:r>
      <w:hyperlink r:id="rId24">
        <w:r>
          <w:t>1866</w:t>
        </w:r>
      </w:hyperlink>
      <w:r>
        <w:t xml:space="preserve"> entrò a far parte del </w:t>
      </w:r>
      <w:hyperlink r:id="rId25">
        <w:r>
          <w:t>regno d'Italia.</w:t>
        </w:r>
      </w:hyperlink>
    </w:p>
    <w:p w:rsidR="00182C87" w:rsidRDefault="00182C87">
      <w:pPr>
        <w:pStyle w:val="Corpotesto"/>
        <w:spacing w:before="8"/>
        <w:ind w:left="0"/>
        <w:jc w:val="left"/>
      </w:pPr>
    </w:p>
    <w:p w:rsidR="00182C87" w:rsidRDefault="004F1F00">
      <w:pPr>
        <w:pStyle w:val="Corpotesto"/>
        <w:spacing w:line="360" w:lineRule="auto"/>
        <w:ind w:right="112"/>
      </w:pPr>
      <w:r>
        <w:t xml:space="preserve">Durante la Prima Guerra mondiale furono ben 97 le donne ovaresi impegnate come </w:t>
      </w:r>
      <w:hyperlink r:id="rId26">
        <w:r>
          <w:t>portatrici</w:t>
        </w:r>
      </w:hyperlink>
      <w:r>
        <w:t xml:space="preserve"> </w:t>
      </w:r>
      <w:hyperlink r:id="rId27">
        <w:r>
          <w:t>carniche,</w:t>
        </w:r>
      </w:hyperlink>
      <w:r>
        <w:t xml:space="preserve"> che compiendo immani fatiche rifornivano di viveri e munizioni i soldati italiani sul vicino fronte. Nel </w:t>
      </w:r>
      <w:hyperlink r:id="rId28">
        <w:r>
          <w:t>1917,</w:t>
        </w:r>
      </w:hyperlink>
      <w:r>
        <w:t xml:space="preserve"> dopo la </w:t>
      </w:r>
      <w:r>
        <w:rPr>
          <w:b/>
        </w:rPr>
        <w:t xml:space="preserve">disfatta di </w:t>
      </w:r>
      <w:hyperlink r:id="rId29">
        <w:r>
          <w:rPr>
            <w:b/>
          </w:rPr>
          <w:t>Caporetto</w:t>
        </w:r>
        <w:r>
          <w:t>,</w:t>
        </w:r>
      </w:hyperlink>
      <w:r>
        <w:t xml:space="preserve"> fu per un periodo nuovamente occupato dalla truppe</w:t>
      </w:r>
      <w:r>
        <w:rPr>
          <w:spacing w:val="-4"/>
        </w:rPr>
        <w:t xml:space="preserve"> </w:t>
      </w:r>
      <w:r>
        <w:t>austro-ungariche.</w:t>
      </w:r>
    </w:p>
    <w:p w:rsidR="00182C87" w:rsidRDefault="00182C87">
      <w:pPr>
        <w:pStyle w:val="Corpotesto"/>
        <w:spacing w:before="8"/>
        <w:ind w:left="0"/>
        <w:jc w:val="left"/>
      </w:pPr>
    </w:p>
    <w:p w:rsidR="00182C87" w:rsidRDefault="004F1F00">
      <w:pPr>
        <w:pStyle w:val="Corpotesto"/>
        <w:spacing w:line="360" w:lineRule="auto"/>
        <w:ind w:right="110"/>
      </w:pPr>
      <w:r>
        <w:t xml:space="preserve">Nell’ambito della </w:t>
      </w:r>
      <w:hyperlink r:id="rId30">
        <w:r>
          <w:t xml:space="preserve">guerra di resistenza </w:t>
        </w:r>
      </w:hyperlink>
      <w:r>
        <w:t xml:space="preserve">nel </w:t>
      </w:r>
      <w:hyperlink r:id="rId31">
        <w:r>
          <w:t>19</w:t>
        </w:r>
        <w:r>
          <w:t xml:space="preserve">44 </w:t>
        </w:r>
      </w:hyperlink>
      <w:r>
        <w:t xml:space="preserve">fu sede delle truppe </w:t>
      </w:r>
      <w:hyperlink r:id="rId32">
        <w:r>
          <w:t>cosacche</w:t>
        </w:r>
      </w:hyperlink>
      <w:r>
        <w:t xml:space="preserve">, alleati dei nazifascisti fino al maggio del </w:t>
      </w:r>
      <w:hyperlink r:id="rId33">
        <w:r>
          <w:t>1945.</w:t>
        </w:r>
      </w:hyperlink>
      <w:r>
        <w:t xml:space="preserve"> Il 2 maggio le truppe cosacche in ritirata, essendo state atta</w:t>
      </w:r>
      <w:r>
        <w:t>ccate dai partigiani, uccisero per rappresaglia 22 civili tra cui il parroco di Ovaro, don Pietro Cortiula.</w:t>
      </w:r>
    </w:p>
    <w:p w:rsidR="00182C87" w:rsidRDefault="00182C87">
      <w:pPr>
        <w:pStyle w:val="Corpotesto"/>
        <w:spacing w:before="8"/>
        <w:ind w:left="0"/>
        <w:jc w:val="left"/>
      </w:pPr>
    </w:p>
    <w:p w:rsidR="00182C87" w:rsidRDefault="004F1F00">
      <w:pPr>
        <w:pStyle w:val="Corpotesto"/>
        <w:spacing w:line="360" w:lineRule="auto"/>
        <w:ind w:right="114"/>
      </w:pPr>
      <w:r>
        <w:t>Dal punto di vista amministrativo i piccoli comuni preesistenti vennero progressivamente accorpati prima nei due comuni di Ovaro (riva sinistra del</w:t>
      </w:r>
      <w:r>
        <w:t xml:space="preserve"> Degano) e di Mione (riva destra del Degano), successivamente riuniti in uno solo. Il progressivo aumento demografico era stato accompagnato da una crescente pressione sociale in direzione della privatizzazione delle terre comuni, oggi quasi del tutto scom</w:t>
      </w:r>
      <w:r>
        <w:t>parse. L'antico regime sopravvive nelle frazioni di Ovasta e Liariis (dove sussistono del “beni frazionali”) e ad Agrons, dove i discendenti delle antiche famiglie del paese sono comproprietari privati di alcuni boschi.</w:t>
      </w:r>
    </w:p>
    <w:p w:rsidR="00182C87" w:rsidRDefault="00182C87">
      <w:pPr>
        <w:pStyle w:val="Corpotesto"/>
        <w:spacing w:before="8"/>
        <w:ind w:left="0"/>
        <w:jc w:val="left"/>
      </w:pPr>
    </w:p>
    <w:p w:rsidR="00182C87" w:rsidRDefault="004F1F00">
      <w:pPr>
        <w:pStyle w:val="Corpotesto"/>
        <w:spacing w:line="360" w:lineRule="auto"/>
        <w:ind w:right="113"/>
      </w:pPr>
      <w:r>
        <w:t>Da un'economia mista di tipo agrico</w:t>
      </w:r>
      <w:r>
        <w:t xml:space="preserve">lo-commerciale o agricolo-artigianale, si passò nel corso del </w:t>
      </w:r>
      <w:hyperlink r:id="rId34">
        <w:r>
          <w:t>XIX secolo</w:t>
        </w:r>
      </w:hyperlink>
      <w:r>
        <w:t xml:space="preserve"> ad un'economia mista agricolo-operaia, sempre caratterizzata dall'emigrazione stagionale, in particolar modo verso l'Europa </w:t>
      </w:r>
      <w:r>
        <w:t>centrale, dove gli ovaresi si dedicavano soprattutto all</w:t>
      </w:r>
      <w:hyperlink r:id="rId35">
        <w:r>
          <w:t>'edilizia.</w:t>
        </w:r>
      </w:hyperlink>
      <w:r>
        <w:t xml:space="preserve"> Nel corso del </w:t>
      </w:r>
      <w:hyperlink r:id="rId36">
        <w:r>
          <w:t>XX secolo</w:t>
        </w:r>
      </w:hyperlink>
      <w:r>
        <w:t xml:space="preserve"> si registrò anche un'emigrazione permanente dirett</w:t>
      </w:r>
      <w:r>
        <w:t xml:space="preserve">a in </w:t>
      </w:r>
      <w:hyperlink r:id="rId37">
        <w:r>
          <w:t>America,</w:t>
        </w:r>
      </w:hyperlink>
      <w:r>
        <w:t xml:space="preserve"> </w:t>
      </w:r>
      <w:hyperlink r:id="rId38">
        <w:r>
          <w:t>Svizzera,</w:t>
        </w:r>
      </w:hyperlink>
      <w:r>
        <w:t xml:space="preserve"> </w:t>
      </w:r>
      <w:hyperlink r:id="rId39">
        <w:r>
          <w:t>Francia,</w:t>
        </w:r>
      </w:hyperlink>
      <w:r>
        <w:t xml:space="preserve"> </w:t>
      </w:r>
      <w:hyperlink r:id="rId40">
        <w:r>
          <w:t>Belgio,</w:t>
        </w:r>
      </w:hyperlink>
      <w:r>
        <w:t xml:space="preserve"> Un parziale freno al fenomeno si ebbe in occasione dell'apertura della </w:t>
      </w:r>
      <w:hyperlink r:id="rId41">
        <w:r>
          <w:rPr>
            <w:b/>
          </w:rPr>
          <w:t>cartiera</w:t>
        </w:r>
      </w:hyperlink>
      <w:r>
        <w:rPr>
          <w:b/>
        </w:rPr>
        <w:t xml:space="preserve"> </w:t>
      </w:r>
      <w:r>
        <w:t xml:space="preserve">ad Ovaro e della </w:t>
      </w:r>
      <w:hyperlink r:id="rId42">
        <w:r>
          <w:rPr>
            <w:b/>
          </w:rPr>
          <w:t>miniera</w:t>
        </w:r>
      </w:hyperlink>
      <w:r>
        <w:rPr>
          <w:b/>
        </w:rPr>
        <w:t xml:space="preserve"> di </w:t>
      </w:r>
      <w:hyperlink r:id="rId43">
        <w:r>
          <w:rPr>
            <w:b/>
          </w:rPr>
          <w:t>carbone</w:t>
        </w:r>
      </w:hyperlink>
      <w:r>
        <w:rPr>
          <w:b/>
        </w:rPr>
        <w:t xml:space="preserve"> </w:t>
      </w:r>
      <w:r>
        <w:t xml:space="preserve">di Cludinico. </w:t>
      </w:r>
      <w:r>
        <w:rPr>
          <w:spacing w:val="-3"/>
        </w:rPr>
        <w:t xml:space="preserve">La </w:t>
      </w:r>
      <w:r>
        <w:t>chiusura di quest’ultima, nell'immediato secondo dopoguerra, rappresentò un momento di crisi evidente dell'economia locale. In ogni caso l'emigrazion</w:t>
      </w:r>
      <w:r>
        <w:t>e andò rallentando negli anni sessanta, tanto che si poteva dire</w:t>
      </w:r>
      <w:r>
        <w:rPr>
          <w:spacing w:val="-5"/>
        </w:rPr>
        <w:t xml:space="preserve"> </w:t>
      </w:r>
      <w:r>
        <w:t>esaurita.</w:t>
      </w:r>
    </w:p>
    <w:sectPr w:rsidR="00182C87">
      <w:pgSz w:w="11910" w:h="16840"/>
      <w:pgMar w:top="1320" w:right="102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283"/>
  <w:drawingGridHorizontalSpacing w:val="110"/>
  <w:displayHorizontalDrawingGridEvery w:val="2"/>
  <w:characterSpacingControl w:val="doNotCompress"/>
  <w:compat>
    <w:ulTrailSpace/>
    <w:compatSetting w:name="compatibilityMode" w:uri="http://schemas.microsoft.com/office/word" w:val="12"/>
  </w:compat>
  <w:rsids>
    <w:rsidRoot w:val="00182C87"/>
    <w:rsid w:val="00182C87"/>
    <w:rsid w:val="004F1F0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Times New Roman" w:eastAsia="Times New Roman" w:hAnsi="Times New Roman"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ind w:left="112"/>
      <w:jc w:val="both"/>
    </w:pPr>
    <w:rPr>
      <w:sz w:val="24"/>
      <w:szCs w:val="24"/>
    </w:rPr>
  </w:style>
  <w:style w:type="paragraph" w:styleId="Paragrafoelenco">
    <w:name w:val="List Paragraph"/>
    <w:basedOn w:val="Normale"/>
    <w:uiPriority w:val="1"/>
    <w:qFormat/>
  </w:style>
  <w:style w:type="paragraph" w:customStyle="1" w:styleId="TableParagraph">
    <w:name w:val="Table Paragraph"/>
    <w:basedOn w:val="Normale"/>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it.wikipedia.org/wiki/28_luglio" TargetMode="External"/><Relationship Id="rId13" Type="http://schemas.openxmlformats.org/officeDocument/2006/relationships/hyperlink" Target="http://it.wikipedia.org/wiki/Frazione_comunale" TargetMode="External"/><Relationship Id="rId18" Type="http://schemas.openxmlformats.org/officeDocument/2006/relationships/hyperlink" Target="http://it.wikipedia.org/wiki/1797" TargetMode="External"/><Relationship Id="rId26" Type="http://schemas.openxmlformats.org/officeDocument/2006/relationships/hyperlink" Target="http://it.wikipedia.org/wiki/Portatrici_carniche" TargetMode="External"/><Relationship Id="rId39" Type="http://schemas.openxmlformats.org/officeDocument/2006/relationships/hyperlink" Target="http://it.wikipedia.org/wiki/Francia" TargetMode="External"/><Relationship Id="rId3" Type="http://schemas.openxmlformats.org/officeDocument/2006/relationships/settings" Target="settings.xml"/><Relationship Id="rId21" Type="http://schemas.openxmlformats.org/officeDocument/2006/relationships/hyperlink" Target="http://it.wikipedia.org/wiki/Friuli" TargetMode="External"/><Relationship Id="rId34" Type="http://schemas.openxmlformats.org/officeDocument/2006/relationships/hyperlink" Target="http://it.wikipedia.org/wiki/XIX_secolo" TargetMode="External"/><Relationship Id="rId42" Type="http://schemas.openxmlformats.org/officeDocument/2006/relationships/hyperlink" Target="http://it.wikipedia.org/wiki/Miniera" TargetMode="External"/><Relationship Id="rId7" Type="http://schemas.openxmlformats.org/officeDocument/2006/relationships/hyperlink" Target="http://it.wikipedia.org/wiki/Repubblica_di_Venezia" TargetMode="External"/><Relationship Id="rId12" Type="http://schemas.openxmlformats.org/officeDocument/2006/relationships/hyperlink" Target="http://it.wikipedia.org/wiki/Istria" TargetMode="External"/><Relationship Id="rId17" Type="http://schemas.openxmlformats.org/officeDocument/2006/relationships/hyperlink" Target="http://it.wikipedia.org/wiki/Venezia" TargetMode="External"/><Relationship Id="rId25" Type="http://schemas.openxmlformats.org/officeDocument/2006/relationships/hyperlink" Target="http://it.wikipedia.org/wiki/Regno_d%27Italia" TargetMode="External"/><Relationship Id="rId33" Type="http://schemas.openxmlformats.org/officeDocument/2006/relationships/hyperlink" Target="http://it.wikipedia.org/wiki/1945" TargetMode="External"/><Relationship Id="rId38" Type="http://schemas.openxmlformats.org/officeDocument/2006/relationships/hyperlink" Target="http://it.wikipedia.org/wiki/Svizzera" TargetMode="External"/><Relationship Id="rId2" Type="http://schemas.microsoft.com/office/2007/relationships/stylesWithEffects" Target="stylesWithEffects.xml"/><Relationship Id="rId16" Type="http://schemas.openxmlformats.org/officeDocument/2006/relationships/hyperlink" Target="http://it.wikipedia.org/wiki/Meriga" TargetMode="External"/><Relationship Id="rId20" Type="http://schemas.openxmlformats.org/officeDocument/2006/relationships/hyperlink" Target="http://it.wikipedia.org/wiki/Veneto" TargetMode="External"/><Relationship Id="rId29" Type="http://schemas.openxmlformats.org/officeDocument/2006/relationships/hyperlink" Target="http://it.wikipedia.org/wiki/Caporetto" TargetMode="External"/><Relationship Id="rId41" Type="http://schemas.openxmlformats.org/officeDocument/2006/relationships/hyperlink" Target="http://it.wikipedia.org/wiki/Cartiera" TargetMode="External"/><Relationship Id="rId1" Type="http://schemas.openxmlformats.org/officeDocument/2006/relationships/styles" Target="styles.xml"/><Relationship Id="rId6" Type="http://schemas.openxmlformats.org/officeDocument/2006/relationships/hyperlink" Target="http://it.wikipedia.org/wiki/1420" TargetMode="External"/><Relationship Id="rId11" Type="http://schemas.openxmlformats.org/officeDocument/2006/relationships/hyperlink" Target="http://it.wikipedia.org/wiki/Tessitura" TargetMode="External"/><Relationship Id="rId24" Type="http://schemas.openxmlformats.org/officeDocument/2006/relationships/hyperlink" Target="http://it.wikipedia.org/wiki/1866" TargetMode="External"/><Relationship Id="rId32" Type="http://schemas.openxmlformats.org/officeDocument/2006/relationships/hyperlink" Target="http://it.wikipedia.org/wiki/Cosacchi" TargetMode="External"/><Relationship Id="rId37" Type="http://schemas.openxmlformats.org/officeDocument/2006/relationships/hyperlink" Target="http://it.wikipedia.org/wiki/Americhe" TargetMode="External"/><Relationship Id="rId40" Type="http://schemas.openxmlformats.org/officeDocument/2006/relationships/hyperlink" Target="http://it.wikipedia.org/wiki/Belgio" TargetMode="External"/><Relationship Id="rId45"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image" Target="media/image2.png"/><Relationship Id="rId23" Type="http://schemas.openxmlformats.org/officeDocument/2006/relationships/hyperlink" Target="http://it.wikipedia.org/wiki/Terza_guerra_di_indipendenza_italiana" TargetMode="External"/><Relationship Id="rId28" Type="http://schemas.openxmlformats.org/officeDocument/2006/relationships/hyperlink" Target="http://it.wikipedia.org/wiki/1917" TargetMode="External"/><Relationship Id="rId36" Type="http://schemas.openxmlformats.org/officeDocument/2006/relationships/hyperlink" Target="http://it.wikipedia.org/wiki/XX_secolo" TargetMode="External"/><Relationship Id="rId10" Type="http://schemas.openxmlformats.org/officeDocument/2006/relationships/hyperlink" Target="http://it.wikipedia.org/wiki/Spezia_(alimento)" TargetMode="External"/><Relationship Id="rId19" Type="http://schemas.openxmlformats.org/officeDocument/2006/relationships/hyperlink" Target="http://it.wikipedia.org/wiki/Impero_austro-ungarico" TargetMode="External"/><Relationship Id="rId31" Type="http://schemas.openxmlformats.org/officeDocument/2006/relationships/hyperlink" Target="http://it.wikipedia.org/wiki/1944"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it.wikipedia.org/wiki/1700" TargetMode="External"/><Relationship Id="rId14" Type="http://schemas.openxmlformats.org/officeDocument/2006/relationships/hyperlink" Target="http://it.wikipedia.org/wiki/Agrons" TargetMode="External"/><Relationship Id="rId22" Type="http://schemas.openxmlformats.org/officeDocument/2006/relationships/hyperlink" Target="http://it.wikipedia.org/wiki/Trattato_di_Campoformio" TargetMode="External"/><Relationship Id="rId27" Type="http://schemas.openxmlformats.org/officeDocument/2006/relationships/hyperlink" Target="http://it.wikipedia.org/wiki/Portatrici_carniche" TargetMode="External"/><Relationship Id="rId30" Type="http://schemas.openxmlformats.org/officeDocument/2006/relationships/hyperlink" Target="http://it.wikipedia.org/wiki/Partigiani" TargetMode="External"/><Relationship Id="rId35" Type="http://schemas.openxmlformats.org/officeDocument/2006/relationships/hyperlink" Target="http://it.wikipedia.org/wiki/Edilizia" TargetMode="External"/><Relationship Id="rId43" Type="http://schemas.openxmlformats.org/officeDocument/2006/relationships/hyperlink" Target="http://it.wikipedia.org/wiki/Carbo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1591</Words>
  <Characters>9070</Characters>
  <Application>Microsoft Office Word</Application>
  <DocSecurity>0</DocSecurity>
  <Lines>75</Lines>
  <Paragraphs>21</Paragraphs>
  <ScaleCrop>false</ScaleCrop>
  <HeadingPairs>
    <vt:vector size="2" baseType="variant">
      <vt:variant>
        <vt:lpstr>Titolo</vt:lpstr>
      </vt:variant>
      <vt:variant>
        <vt:i4>1</vt:i4>
      </vt:variant>
    </vt:vector>
  </HeadingPairs>
  <TitlesOfParts>
    <vt:vector size="1" baseType="lpstr">
      <vt:lpstr>La contrada che da secoli prende il nome di Gorto, corrisponde pressappoco al territorio amministrativo del Comune di Ovaro</vt:lpstr>
    </vt:vector>
  </TitlesOfParts>
  <Company/>
  <LinksUpToDate>false</LinksUpToDate>
  <CharactersWithSpaces>10640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contrada che da secoli prende il nome di Gorto, corrisponde pressappoco al territorio amministrativo del Comune di Ovaro</dc:title>
  <dc:creator>Albergo Diffuso Il Grop - Ovaro</dc:creator>
  <cp:lastModifiedBy>Utente</cp:lastModifiedBy>
  <cp:revision>2</cp:revision>
  <dcterms:created xsi:type="dcterms:W3CDTF">2018-04-13T08:32:00Z</dcterms:created>
  <dcterms:modified xsi:type="dcterms:W3CDTF">2018-04-13T08:32:00Z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2012-03-10T00:00:00Z</vt:filetime>
  </property>
  <property fmtid="{D5CDD505-2E9C-101B-9397-08002B2CF9AE}" pid="3" name="Creator">
    <vt:lpwstr>Microsoft® Word 2010</vt:lpwstr>
  </property>
  <property fmtid="{D5CDD505-2E9C-101B-9397-08002B2CF9AE}" pid="4" name="LastSaved">
    <vt:filetime>2018-04-13T00:00:00Z</vt:filetime>
  </property>
</Properties>
</file>